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4658FA">
      <w:pPr>
        <w:jc w:val="center"/>
        <w:rPr>
          <w:rStyle w:val="4"/>
          <w:rFonts w:eastAsia="方正小标宋简体"/>
          <w:bCs w:val="0"/>
          <w:color w:val="auto"/>
          <w:sz w:val="36"/>
          <w:szCs w:val="36"/>
        </w:rPr>
      </w:pPr>
      <w:bookmarkStart w:id="0" w:name="_GoBack"/>
      <w:r>
        <w:rPr>
          <w:rStyle w:val="4"/>
          <w:rFonts w:eastAsia="方正小标宋简体"/>
          <w:color w:val="auto"/>
          <w:sz w:val="36"/>
          <w:szCs w:val="36"/>
        </w:rPr>
        <w:t>自然资源科学技术奖公示信息表（单位推荐）</w:t>
      </w:r>
    </w:p>
    <w:bookmarkEnd w:id="0"/>
    <w:p w14:paraId="6A7E647E">
      <w:pPr>
        <w:spacing w:line="440" w:lineRule="exact"/>
        <w:rPr>
          <w:rFonts w:eastAsia="仿宋_GB2312"/>
          <w:sz w:val="28"/>
          <w:szCs w:val="24"/>
        </w:rPr>
      </w:pPr>
      <w:r>
        <w:rPr>
          <w:rFonts w:eastAsia="仿宋_GB2312"/>
          <w:sz w:val="28"/>
          <w:szCs w:val="24"/>
        </w:rPr>
        <w:t>提名奖项：（科学技术进步奖）</w:t>
      </w:r>
    </w:p>
    <w:tbl>
      <w:tblPr>
        <w:tblStyle w:val="2"/>
        <w:tblW w:w="8676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6"/>
        <w:gridCol w:w="6520"/>
      </w:tblGrid>
      <w:tr w14:paraId="0EE392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2156" w:type="dxa"/>
            <w:vAlign w:val="center"/>
          </w:tcPr>
          <w:p w14:paraId="6E24ED4D">
            <w:pPr>
              <w:jc w:val="center"/>
              <w:rPr>
                <w:rStyle w:val="4"/>
                <w:rFonts w:eastAsia="仿宋_GB2312"/>
                <w:b w:val="0"/>
                <w:color w:val="auto"/>
                <w:sz w:val="28"/>
              </w:rPr>
            </w:pPr>
            <w:r>
              <w:rPr>
                <w:rStyle w:val="4"/>
                <w:rFonts w:eastAsia="仿宋_GB2312"/>
                <w:color w:val="auto"/>
                <w:sz w:val="28"/>
              </w:rPr>
              <w:t>成果名称</w:t>
            </w:r>
          </w:p>
        </w:tc>
        <w:tc>
          <w:tcPr>
            <w:tcW w:w="6520" w:type="dxa"/>
            <w:vAlign w:val="center"/>
          </w:tcPr>
          <w:p w14:paraId="74CA02B9">
            <w:pPr>
              <w:jc w:val="center"/>
              <w:rPr>
                <w:rStyle w:val="4"/>
                <w:rFonts w:eastAsia="仿宋_GB2312"/>
                <w:b w:val="0"/>
                <w:color w:val="auto"/>
                <w:sz w:val="28"/>
              </w:rPr>
            </w:pPr>
            <w:r>
              <w:rPr>
                <w:rStyle w:val="4"/>
                <w:rFonts w:hint="eastAsia" w:eastAsia="仿宋_GB2312"/>
                <w:b w:val="0"/>
                <w:color w:val="auto"/>
                <w:sz w:val="28"/>
              </w:rPr>
              <w:t>数智化国土空间治理的理论创新、关键技术与应用示范</w:t>
            </w:r>
          </w:p>
        </w:tc>
      </w:tr>
      <w:tr w14:paraId="4D3FE2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156" w:type="dxa"/>
            <w:vAlign w:val="center"/>
          </w:tcPr>
          <w:p w14:paraId="1FD6C4BB">
            <w:pPr>
              <w:jc w:val="center"/>
              <w:rPr>
                <w:rStyle w:val="4"/>
                <w:rFonts w:eastAsia="仿宋_GB2312"/>
                <w:b w:val="0"/>
                <w:color w:val="auto"/>
                <w:sz w:val="28"/>
              </w:rPr>
            </w:pPr>
            <w:r>
              <w:rPr>
                <w:rStyle w:val="4"/>
                <w:rFonts w:eastAsia="仿宋_GB2312"/>
                <w:color w:val="auto"/>
                <w:sz w:val="28"/>
              </w:rPr>
              <w:t>提名等级</w:t>
            </w:r>
          </w:p>
        </w:tc>
        <w:tc>
          <w:tcPr>
            <w:tcW w:w="6520" w:type="dxa"/>
            <w:vAlign w:val="center"/>
          </w:tcPr>
          <w:p w14:paraId="0854C51A">
            <w:pPr>
              <w:jc w:val="center"/>
              <w:rPr>
                <w:rStyle w:val="4"/>
                <w:rFonts w:eastAsia="仿宋_GB2312"/>
                <w:b w:val="0"/>
                <w:color w:val="auto"/>
                <w:sz w:val="28"/>
              </w:rPr>
            </w:pPr>
            <w:r>
              <w:rPr>
                <w:rStyle w:val="4"/>
                <w:rFonts w:hint="eastAsia" w:eastAsia="仿宋_GB2312"/>
                <w:b w:val="0"/>
                <w:color w:val="auto"/>
                <w:sz w:val="28"/>
              </w:rPr>
              <w:t>一等奖或二等奖</w:t>
            </w:r>
          </w:p>
        </w:tc>
      </w:tr>
      <w:tr w14:paraId="71C4A2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156" w:type="dxa"/>
            <w:vAlign w:val="center"/>
          </w:tcPr>
          <w:p w14:paraId="222A9FE0">
            <w:pPr>
              <w:jc w:val="center"/>
              <w:rPr>
                <w:rStyle w:val="4"/>
                <w:rFonts w:eastAsia="仿宋_GB2312"/>
                <w:color w:val="auto"/>
                <w:sz w:val="28"/>
              </w:rPr>
            </w:pPr>
            <w:r>
              <w:rPr>
                <w:rStyle w:val="4"/>
                <w:rFonts w:hint="eastAsia" w:eastAsia="仿宋_GB2312"/>
                <w:color w:val="auto"/>
                <w:sz w:val="28"/>
              </w:rPr>
              <w:t>成果简介</w:t>
            </w:r>
          </w:p>
        </w:tc>
        <w:tc>
          <w:tcPr>
            <w:tcW w:w="6520" w:type="dxa"/>
            <w:vAlign w:val="center"/>
          </w:tcPr>
          <w:p w14:paraId="3EE81966">
            <w:pPr>
              <w:spacing w:line="440" w:lineRule="exact"/>
              <w:ind w:firstLine="480" w:firstLineChars="200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hint="eastAsia" w:eastAsia="仿宋_GB2312"/>
                <w:bCs/>
                <w:sz w:val="24"/>
                <w:szCs w:val="24"/>
              </w:rPr>
              <w:t>新发展阶段，国土空间治理由单一要素配置和用途管控转向统筹发展、安全、生态与治理效能的复杂系统治理。遥感、大数据、人工智能和空间计算深度进入自然资源管理，治理对象呈现关联网络化、演化动态化、任务综合化特征，传统静态评价、分散管理和经验判断已难以满足规划决策与实施监管需求。本成果面向国家空间治理现代化与自然资源管理数智化转型，围绕复杂国土空间认知、推演与治理开展理论、技术和应用研究，形成贯通理论、技术与业务应用的数智化国土空间治理体系。</w:t>
            </w:r>
          </w:p>
          <w:p w14:paraId="0D993E2B">
            <w:pPr>
              <w:spacing w:line="440" w:lineRule="exact"/>
              <w:ind w:firstLine="480" w:firstLineChars="200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hint="eastAsia" w:eastAsia="仿宋_GB2312"/>
                <w:bCs/>
                <w:sz w:val="24"/>
                <w:szCs w:val="24"/>
              </w:rPr>
              <w:t>一是重构数智时代国土空间治理理论。构建安全国土、效率国土、公平国土、美丽国土、善治国土协同的价值框架，统筹保护、开发、协调、品质与治理效能；提出“空间即过程、网络即组织、关系即传导”的数智化建构逻辑，将要素流动、网络联系和跨尺度作用纳入国土空间认知；形成“空间锚定、三融五跨、场景融通”的整体转型架构，拓展国土空间规划与自然资源治理的理论基础。</w:t>
            </w:r>
          </w:p>
          <w:p w14:paraId="1ACD3089">
            <w:pPr>
              <w:spacing w:line="440" w:lineRule="exact"/>
              <w:ind w:firstLine="480" w:firstLineChars="200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hint="eastAsia" w:eastAsia="仿宋_GB2312"/>
                <w:bCs/>
                <w:sz w:val="24"/>
                <w:szCs w:val="24"/>
              </w:rPr>
              <w:t>二是形成智能感知、模拟推演与数字化管控关键技术。融合遥感、无人机、数字高程、人口活动、夜间灯光、街景影像和互联网文本等多源数据，形成空间感知与动态诊断技术；综合空间网络、机器学习、</w:t>
            </w:r>
            <w:r>
              <w:rPr>
                <w:rFonts w:eastAsia="仿宋_GB2312"/>
                <w:bCs/>
                <w:sz w:val="24"/>
                <w:szCs w:val="24"/>
              </w:rPr>
              <w:t>Markov-FLUS</w:t>
            </w:r>
            <w:r>
              <w:rPr>
                <w:rFonts w:hint="eastAsia" w:eastAsia="仿宋_GB2312"/>
                <w:bCs/>
                <w:sz w:val="24"/>
                <w:szCs w:val="24"/>
              </w:rPr>
              <w:t>、元胞自动机—主体模型等方法，建立空间关系分析和多情景模拟推演技术，并探索大模型与地理空间分析协同；面向规划实施和全域土地综合整治，形成整治潜力评价、全过程监测、数据质检等数字化管控技术。</w:t>
            </w:r>
          </w:p>
          <w:p w14:paraId="4D20D69C">
            <w:pPr>
              <w:spacing w:line="440" w:lineRule="exact"/>
              <w:ind w:firstLine="480" w:firstLineChars="200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hint="eastAsia" w:eastAsia="仿宋_GB2312"/>
                <w:bCs/>
                <w:sz w:val="24"/>
                <w:szCs w:val="24"/>
              </w:rPr>
              <w:t>三是构建空间码贯通、一张图协同、全域整治集成的数智治理应用技术体系。建立空间码全生命周期关联技术，实现治理对象统一锚定、状态持续关联和任务映射；以国土空间“一张图”为统一实施载体，贯通规划编制、成果审查、实施监管和动态反馈；将空间码和“一张图”能力集成到全域土地综合整治，形成整治单元诊断、方案校核和省域多项目全过程协同管控技术。</w:t>
            </w:r>
          </w:p>
          <w:p w14:paraId="51472F12">
            <w:pPr>
              <w:spacing w:line="440" w:lineRule="exact"/>
              <w:ind w:firstLine="480" w:firstLineChars="200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hint="eastAsia" w:eastAsia="仿宋_GB2312"/>
                <w:bCs/>
                <w:sz w:val="24"/>
                <w:szCs w:val="24"/>
              </w:rPr>
              <w:t>成果已服务国家国土空间规划技术体系建设和“双评价”等技术指南及重大规划实践。国土空间规划实施监测评估及“一张图”相关系统自</w:t>
            </w:r>
            <w:r>
              <w:rPr>
                <w:rFonts w:eastAsia="仿宋_GB2312"/>
                <w:bCs/>
                <w:sz w:val="24"/>
                <w:szCs w:val="24"/>
              </w:rPr>
              <w:t>2018</w:t>
            </w:r>
            <w:r>
              <w:rPr>
                <w:rFonts w:hint="eastAsia" w:eastAsia="仿宋_GB2312"/>
                <w:bCs/>
                <w:sz w:val="24"/>
                <w:szCs w:val="24"/>
              </w:rPr>
              <w:t>年起形成部级项目应用，并在浙江、山东、四川、河北等省推广；在浙江覆盖</w:t>
            </w:r>
            <w:r>
              <w:rPr>
                <w:rFonts w:eastAsia="仿宋_GB2312"/>
                <w:bCs/>
                <w:sz w:val="24"/>
                <w:szCs w:val="24"/>
              </w:rPr>
              <w:t>87</w:t>
            </w:r>
            <w:r>
              <w:rPr>
                <w:rFonts w:hint="eastAsia" w:eastAsia="仿宋_GB2312"/>
                <w:bCs/>
                <w:sz w:val="24"/>
                <w:szCs w:val="24"/>
              </w:rPr>
              <w:t>个县级自然资源管理单元，支撑</w:t>
            </w:r>
            <w:r>
              <w:rPr>
                <w:rFonts w:eastAsia="仿宋_GB2312"/>
                <w:bCs/>
                <w:sz w:val="24"/>
                <w:szCs w:val="24"/>
              </w:rPr>
              <w:t>1055</w:t>
            </w:r>
            <w:r>
              <w:rPr>
                <w:rFonts w:hint="eastAsia" w:eastAsia="仿宋_GB2312"/>
                <w:bCs/>
                <w:sz w:val="24"/>
                <w:szCs w:val="24"/>
              </w:rPr>
              <w:t>项国土空间整治工程，并拓展至“一地一码”、生态修复监管、自然资源评估预警等场景。新增应用材料进一步表明，部级国土空间规划实施监测评估系统</w:t>
            </w:r>
            <w:r>
              <w:rPr>
                <w:rFonts w:eastAsia="仿宋_GB2312"/>
                <w:bCs/>
                <w:sz w:val="24"/>
                <w:szCs w:val="24"/>
              </w:rPr>
              <w:t>2018</w:t>
            </w:r>
            <w:r>
              <w:rPr>
                <w:rFonts w:hint="eastAsia" w:eastAsia="仿宋_GB2312"/>
                <w:bCs/>
                <w:sz w:val="24"/>
                <w:szCs w:val="24"/>
              </w:rPr>
              <w:t>年启动建设、</w:t>
            </w:r>
            <w:r>
              <w:rPr>
                <w:rFonts w:eastAsia="仿宋_GB2312"/>
                <w:bCs/>
                <w:sz w:val="24"/>
                <w:szCs w:val="24"/>
              </w:rPr>
              <w:t>2019</w:t>
            </w:r>
            <w:r>
              <w:rPr>
                <w:rFonts w:hint="eastAsia" w:eastAsia="仿宋_GB2312"/>
                <w:bCs/>
                <w:sz w:val="24"/>
                <w:szCs w:val="24"/>
              </w:rPr>
              <w:t>年通过验收，山东、浙江、四川、河北等省级“一张图”系统随后形成连续应用，增强了成果跨层级、跨区域推广的客观支撑。</w:t>
            </w:r>
          </w:p>
          <w:p w14:paraId="61713BC5">
            <w:pPr>
              <w:spacing w:line="440" w:lineRule="exact"/>
              <w:ind w:firstLine="480" w:firstLineChars="200"/>
              <w:rPr>
                <w:rStyle w:val="4"/>
                <w:rFonts w:eastAsia="仿宋_GB2312"/>
                <w:b w:val="0"/>
                <w:color w:val="auto"/>
                <w:sz w:val="28"/>
              </w:rPr>
            </w:pPr>
            <w:r>
              <w:rPr>
                <w:rFonts w:hint="eastAsia" w:eastAsia="仿宋_GB2312"/>
                <w:bCs/>
                <w:sz w:val="24"/>
                <w:szCs w:val="24"/>
              </w:rPr>
              <w:t>相关实践累计盘活农村闲置土地</w:t>
            </w:r>
            <w:r>
              <w:rPr>
                <w:rFonts w:eastAsia="仿宋_GB2312"/>
                <w:bCs/>
                <w:sz w:val="24"/>
                <w:szCs w:val="24"/>
              </w:rPr>
              <w:t>2.1</w:t>
            </w:r>
            <w:r>
              <w:rPr>
                <w:rFonts w:hint="eastAsia" w:eastAsia="仿宋_GB2312"/>
                <w:bCs/>
                <w:sz w:val="24"/>
                <w:szCs w:val="24"/>
              </w:rPr>
              <w:t>万亩、优化城镇低效用地</w:t>
            </w:r>
            <w:r>
              <w:rPr>
                <w:rFonts w:eastAsia="仿宋_GB2312"/>
                <w:bCs/>
                <w:sz w:val="24"/>
                <w:szCs w:val="24"/>
              </w:rPr>
              <w:t>12.6</w:t>
            </w:r>
            <w:r>
              <w:rPr>
                <w:rFonts w:hint="eastAsia" w:eastAsia="仿宋_GB2312"/>
                <w:bCs/>
                <w:sz w:val="24"/>
                <w:szCs w:val="24"/>
              </w:rPr>
              <w:t>万亩、完成建设用地复垦整治</w:t>
            </w:r>
            <w:r>
              <w:rPr>
                <w:rFonts w:eastAsia="仿宋_GB2312"/>
                <w:bCs/>
                <w:sz w:val="24"/>
                <w:szCs w:val="24"/>
              </w:rPr>
              <w:t>13</w:t>
            </w:r>
            <w:r>
              <w:rPr>
                <w:rFonts w:hint="eastAsia" w:eastAsia="仿宋_GB2312"/>
                <w:bCs/>
                <w:sz w:val="24"/>
                <w:szCs w:val="24"/>
              </w:rPr>
              <w:t>万亩，实现增减挂钩节余指标跨县域调剂</w:t>
            </w:r>
            <w:r>
              <w:rPr>
                <w:rFonts w:eastAsia="仿宋_GB2312"/>
                <w:bCs/>
                <w:sz w:val="24"/>
                <w:szCs w:val="24"/>
              </w:rPr>
              <w:t>1.6</w:t>
            </w:r>
            <w:r>
              <w:rPr>
                <w:rFonts w:hint="eastAsia" w:eastAsia="仿宋_GB2312"/>
                <w:bCs/>
                <w:sz w:val="24"/>
                <w:szCs w:val="24"/>
              </w:rPr>
              <w:t>万余亩；推动</w:t>
            </w:r>
            <w:r>
              <w:rPr>
                <w:rFonts w:eastAsia="仿宋_GB2312"/>
                <w:bCs/>
                <w:sz w:val="24"/>
                <w:szCs w:val="24"/>
              </w:rPr>
              <w:t>601</w:t>
            </w:r>
            <w:r>
              <w:rPr>
                <w:rFonts w:hint="eastAsia" w:eastAsia="仿宋_GB2312"/>
                <w:bCs/>
                <w:sz w:val="24"/>
                <w:szCs w:val="24"/>
              </w:rPr>
              <w:t>个集体经济薄弱村转型发展，项目区农民人均可支配收入提高约</w:t>
            </w:r>
            <w:r>
              <w:rPr>
                <w:rFonts w:eastAsia="仿宋_GB2312"/>
                <w:bCs/>
                <w:sz w:val="24"/>
                <w:szCs w:val="24"/>
              </w:rPr>
              <w:t>1900</w:t>
            </w:r>
            <w:r>
              <w:rPr>
                <w:rFonts w:hint="eastAsia" w:eastAsia="仿宋_GB2312"/>
                <w:bCs/>
                <w:sz w:val="24"/>
                <w:szCs w:val="24"/>
              </w:rPr>
              <w:t>元。成果累计发表高水平论文</w:t>
            </w:r>
            <w:r>
              <w:rPr>
                <w:rFonts w:eastAsia="仿宋_GB2312"/>
                <w:bCs/>
                <w:sz w:val="24"/>
                <w:szCs w:val="24"/>
              </w:rPr>
              <w:t>50</w:t>
            </w:r>
            <w:r>
              <w:rPr>
                <w:rFonts w:hint="eastAsia" w:eastAsia="仿宋_GB2312"/>
                <w:bCs/>
                <w:sz w:val="24"/>
                <w:szCs w:val="24"/>
              </w:rPr>
              <w:t>余篇、出版专著</w:t>
            </w:r>
            <w:r>
              <w:rPr>
                <w:rFonts w:eastAsia="仿宋_GB2312"/>
                <w:bCs/>
                <w:sz w:val="24"/>
                <w:szCs w:val="24"/>
              </w:rPr>
              <w:t>6</w:t>
            </w:r>
            <w:r>
              <w:rPr>
                <w:rFonts w:hint="eastAsia" w:eastAsia="仿宋_GB2312"/>
                <w:bCs/>
                <w:sz w:val="24"/>
                <w:szCs w:val="24"/>
              </w:rPr>
              <w:t>部，形成系列发明专利、软件著作权和技术标准，多项核心技术及平台获地理信息科技进步奖一等奖等科技奖励。成果为国土空间规划科学决策、实施监督、全域土地综合整治和自然资源精细化治理提供系统科技支撑，具有较强的应用基础和行业推广价值。</w:t>
            </w:r>
          </w:p>
        </w:tc>
      </w:tr>
      <w:tr w14:paraId="73E87A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1" w:hRule="atLeast"/>
        </w:trPr>
        <w:tc>
          <w:tcPr>
            <w:tcW w:w="2156" w:type="dxa"/>
            <w:vAlign w:val="center"/>
          </w:tcPr>
          <w:p w14:paraId="528C0ECB">
            <w:pPr>
              <w:spacing w:line="440" w:lineRule="exact"/>
              <w:jc w:val="center"/>
              <w:rPr>
                <w:rFonts w:eastAsia="仿宋_GB2312"/>
                <w:b/>
                <w:sz w:val="28"/>
                <w:szCs w:val="24"/>
              </w:rPr>
            </w:pPr>
            <w:r>
              <w:rPr>
                <w:rFonts w:eastAsia="仿宋_GB2312"/>
                <w:b/>
                <w:sz w:val="28"/>
                <w:szCs w:val="24"/>
              </w:rPr>
              <w:t>提名书</w:t>
            </w:r>
          </w:p>
          <w:p w14:paraId="5E4A7137">
            <w:pPr>
              <w:spacing w:line="440" w:lineRule="exact"/>
              <w:jc w:val="center"/>
              <w:rPr>
                <w:rFonts w:eastAsia="仿宋_GB2312"/>
                <w:b/>
                <w:sz w:val="28"/>
                <w:szCs w:val="24"/>
              </w:rPr>
            </w:pPr>
            <w:r>
              <w:rPr>
                <w:rFonts w:eastAsia="仿宋_GB2312"/>
                <w:b/>
                <w:sz w:val="28"/>
                <w:szCs w:val="24"/>
              </w:rPr>
              <w:t>相关内容</w:t>
            </w:r>
          </w:p>
          <w:p w14:paraId="1A1355F2">
            <w:pPr>
              <w:spacing w:line="440" w:lineRule="exact"/>
              <w:jc w:val="center"/>
              <w:rPr>
                <w:rFonts w:eastAsia="仿宋_GB2312"/>
                <w:bCs/>
                <w:sz w:val="28"/>
                <w:szCs w:val="24"/>
              </w:rPr>
            </w:pPr>
            <w:r>
              <w:rPr>
                <w:rFonts w:hint="eastAsia" w:eastAsia="仿宋_GB2312"/>
                <w:b/>
                <w:sz w:val="28"/>
                <w:szCs w:val="24"/>
              </w:rPr>
              <w:t>（附表）</w:t>
            </w:r>
          </w:p>
        </w:tc>
        <w:tc>
          <w:tcPr>
            <w:tcW w:w="6520" w:type="dxa"/>
          </w:tcPr>
          <w:p w14:paraId="2BE24329">
            <w:pPr>
              <w:widowControl/>
              <w:spacing w:line="440" w:lineRule="exact"/>
              <w:ind w:firstLine="482" w:firstLineChars="20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主要知识产权和标准规范目录：</w:t>
            </w:r>
          </w:p>
          <w:p w14:paraId="4EF6E1D9">
            <w:pPr>
              <w:widowControl/>
              <w:spacing w:line="440" w:lineRule="exact"/>
              <w:ind w:left="480" w:hanging="480" w:hangingChars="20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1、国家标准，国土空间规划“一张图”实施监督信息系统技术规范，中国，GB/T 39972-2021，2021-03-09，全国自然资源与国土空间规划标准化技术委员会，上海数慧参编，有效；</w:t>
            </w:r>
          </w:p>
          <w:p w14:paraId="7EE61814">
            <w:pPr>
              <w:widowControl/>
              <w:spacing w:line="440" w:lineRule="exact"/>
              <w:ind w:left="480" w:hanging="480" w:hangingChars="20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2、计算机软件著作权，数慧国土空间治理数字化平台软件V1.0，中国，2021SR2228192，2021-12-30，软著登字第8950818号，上海数慧，有效；</w:t>
            </w:r>
          </w:p>
          <w:p w14:paraId="7AC5D343">
            <w:pPr>
              <w:widowControl/>
              <w:spacing w:line="440" w:lineRule="exact"/>
              <w:ind w:left="480" w:hanging="480" w:hangingChars="20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3、发明专利，业务信息处理方法和装置，中国，ZL202110858996.X，2024-07-30，上海数慧，杜秀清、罗亚、王亮亮等，有效；</w:t>
            </w:r>
          </w:p>
          <w:p w14:paraId="00ADD41B">
            <w:pPr>
              <w:widowControl/>
              <w:spacing w:line="440" w:lineRule="exact"/>
              <w:ind w:left="480" w:hanging="480" w:hangingChars="20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4、计算机软件著作权，数慧一地一码协同服务软件V1.0，中国，2021SR2228098，2021-07-16，软著登字第8950724号，上海数慧，有效；</w:t>
            </w:r>
          </w:p>
          <w:p w14:paraId="5CD0D845">
            <w:pPr>
              <w:widowControl/>
              <w:spacing w:line="440" w:lineRule="exact"/>
              <w:ind w:left="480" w:hanging="480" w:hangingChars="20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5、团体标准，土地资源“一码关联”服务技术规范，中国，T/SDAS 561-2023，2023-02-01，山东标准化协会，上海数慧参编，有效；</w:t>
            </w:r>
          </w:p>
          <w:p w14:paraId="430DE7C7">
            <w:pPr>
              <w:widowControl/>
              <w:spacing w:line="440" w:lineRule="exact"/>
              <w:ind w:left="480" w:hanging="480" w:hangingChars="20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6、计算机软件著作权，数慧国土空间规划“一张图”实施监督信息系统V1.0，中国，2020SR0388591，软著登字第5267287号，上海数慧，有效；</w:t>
            </w:r>
          </w:p>
          <w:p w14:paraId="6273920C">
            <w:pPr>
              <w:widowControl/>
              <w:spacing w:line="440" w:lineRule="exact"/>
              <w:ind w:left="480" w:hanging="480" w:hangingChars="20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7、计算机软件著作权，数慧自然资源智能感知平台V1.0，中国，2023SR1429941，2023-11-14，软著登字第12017114号，上海数慧，有效；</w:t>
            </w:r>
          </w:p>
          <w:p w14:paraId="02885422">
            <w:pPr>
              <w:widowControl/>
              <w:spacing w:line="440" w:lineRule="exact"/>
              <w:ind w:left="480" w:hanging="480" w:hangingChars="20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8、计算机软件著作权，数慧全域土地综合整治数字化管理软件V1.0，中国，2024SR0475252，2024-04-08，软著登字第12879125号，上海数慧，有效；</w:t>
            </w:r>
          </w:p>
          <w:p w14:paraId="2150BB49">
            <w:pPr>
              <w:widowControl/>
              <w:spacing w:line="440" w:lineRule="exact"/>
              <w:ind w:left="480" w:hanging="480" w:hangingChars="20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9、发明专利，一种基于金字塔模型的遥感影像切图方法，中国，ZL201310031333.6，2016-11-30，证书号第2304012号，浙江大学，郑国轴、陈亮、江琳、陶金火、陈华钧、吴朝晖、杨建华，有效；</w:t>
            </w:r>
          </w:p>
          <w:p w14:paraId="67A2CE7A">
            <w:pPr>
              <w:widowControl/>
              <w:spacing w:line="440" w:lineRule="exact"/>
              <w:ind w:left="480" w:hanging="480" w:hangingChars="20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10、发明专利，基于语义模板的遥感元数据集成方法，中国，ZL201410064965.7，2017-08-15，证书号第2587199号，浙江大学，陶金火、刘娜、欧阳宇彬、郑国轴、陈华钧、吴朝晖，有效。</w:t>
            </w:r>
          </w:p>
          <w:p w14:paraId="6C7D85A5">
            <w:pPr>
              <w:widowControl/>
              <w:spacing w:line="440" w:lineRule="exact"/>
              <w:ind w:left="480" w:hanging="480" w:hangingChars="20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br w:type="textWrapping"/>
            </w:r>
            <w:r>
              <w:rPr>
                <w:rFonts w:hint="eastAsia" w:eastAsia="仿宋_GB2312"/>
                <w:b/>
                <w:bCs/>
                <w:sz w:val="24"/>
                <w:szCs w:val="24"/>
              </w:rPr>
              <w:t>代表性论文专著目录：</w:t>
            </w:r>
          </w:p>
          <w:p w14:paraId="67C2018B">
            <w:pPr>
              <w:widowControl/>
              <w:numPr>
                <w:ilvl w:val="0"/>
                <w:numId w:val="1"/>
              </w:numPr>
              <w:spacing w:line="440" w:lineRule="exact"/>
              <w:ind w:left="480" w:hanging="480" w:hangingChars="20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Wang K, Zhou J, Yang R, et al. Deploying photovoltaic systems in global open-pit mines for a clean energy transition[J]. Nature Sustainability, 2025, 8: 1037–1047. 2025-07-14.</w:t>
            </w:r>
          </w:p>
          <w:p w14:paraId="7CE32732">
            <w:pPr>
              <w:widowControl/>
              <w:numPr>
                <w:ilvl w:val="0"/>
                <w:numId w:val="1"/>
              </w:numPr>
              <w:spacing w:line="440" w:lineRule="exact"/>
              <w:ind w:left="480" w:hanging="480" w:hangingChars="20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Yue W, Chen N, Zhang G. Using AI analysis to decode SDG integration in China’s spatial planning[J]. npj Urban Sustainability, 2026. 2026-06-06.</w:t>
            </w:r>
          </w:p>
          <w:p w14:paraId="5F08BB3E">
            <w:pPr>
              <w:widowControl/>
              <w:numPr>
                <w:ilvl w:val="0"/>
                <w:numId w:val="1"/>
              </w:numPr>
              <w:spacing w:line="440" w:lineRule="exact"/>
              <w:ind w:left="480" w:hanging="480" w:hangingChars="20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Feng X, Zhang Q, Li Y, et al. Hidden costs of China’s straw-burning ban[J]. Science, 2026, 393(6812): 667-667.</w:t>
            </w:r>
          </w:p>
          <w:p w14:paraId="448E2679">
            <w:pPr>
              <w:widowControl/>
              <w:numPr>
                <w:ilvl w:val="0"/>
                <w:numId w:val="1"/>
              </w:numPr>
              <w:spacing w:line="440" w:lineRule="exact"/>
              <w:ind w:left="480" w:hanging="480" w:hangingChars="20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王田雨, 岳文泽, 黄波, 等. 未来气候变化情景下浙江省陆地生态系统碳汇估算与保护区识别[J]. 地理学报, 2025, 80: 183–199. 2025-01-26.</w:t>
            </w:r>
          </w:p>
          <w:p w14:paraId="719CB926">
            <w:pPr>
              <w:widowControl/>
              <w:numPr>
                <w:ilvl w:val="0"/>
                <w:numId w:val="1"/>
              </w:numPr>
              <w:spacing w:line="440" w:lineRule="exact"/>
              <w:ind w:left="480" w:hanging="480" w:hangingChars="20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Xiong J, Yue W, Xia H, et al. Will China’s territorial spatial planning policies enhance land use sustainability? An integrated assessment under global environmental change[J]. Resources, Environment and Sustainability, 2025, 21: 100228. 2025-04-12.</w:t>
            </w:r>
          </w:p>
          <w:p w14:paraId="6098385C">
            <w:pPr>
              <w:widowControl/>
              <w:numPr>
                <w:ilvl w:val="0"/>
                <w:numId w:val="1"/>
              </w:numPr>
              <w:spacing w:line="440" w:lineRule="exact"/>
              <w:ind w:left="480" w:hanging="480" w:hangingChars="20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 xml:space="preserve">岳文泽, 侯丽, 韦静娴. 国土空间治理的数字化转型：基本内涵、模式演进与关键挑战[J]. 中国土地科学, 2024, 38: 36–44. 2024-03-05. </w:t>
            </w:r>
          </w:p>
          <w:p w14:paraId="6DAA8219">
            <w:pPr>
              <w:widowControl/>
              <w:numPr>
                <w:ilvl w:val="0"/>
                <w:numId w:val="1"/>
              </w:numPr>
              <w:spacing w:line="440" w:lineRule="exact"/>
              <w:ind w:left="480" w:hanging="480" w:hangingChars="20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Wu L, Zhang Y, Long H, et al. Greater losses from heat exposure experienced by female smallholders in sub-Saharan Africa[J]. Nature Sustainability, 2026. 2026-06-26.</w:t>
            </w:r>
          </w:p>
          <w:p w14:paraId="70725DD0">
            <w:pPr>
              <w:widowControl/>
              <w:numPr>
                <w:ilvl w:val="0"/>
                <w:numId w:val="1"/>
              </w:numPr>
              <w:spacing w:line="440" w:lineRule="exact"/>
              <w:ind w:left="480" w:hanging="480" w:hangingChars="20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 xml:space="preserve">岳文泽, 王田雨. 资源环境承载力评价与国土空间规划的逻辑问题[J]. 中国土地科学, 2019, 33: 1–8. 2019-03-15. </w:t>
            </w:r>
          </w:p>
        </w:tc>
      </w:tr>
      <w:tr w14:paraId="3E402D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2156" w:type="dxa"/>
            <w:tcBorders>
              <w:right w:val="single" w:color="auto" w:sz="4" w:space="0"/>
            </w:tcBorders>
            <w:vAlign w:val="center"/>
          </w:tcPr>
          <w:p w14:paraId="53EE0F63">
            <w:pPr>
              <w:spacing w:line="440" w:lineRule="exact"/>
              <w:jc w:val="center"/>
              <w:rPr>
                <w:rFonts w:eastAsia="仿宋_GB2312"/>
                <w:bCs/>
                <w:sz w:val="28"/>
                <w:szCs w:val="24"/>
              </w:rPr>
            </w:pPr>
            <w:r>
              <w:rPr>
                <w:rFonts w:eastAsia="仿宋_GB2312"/>
                <w:b/>
                <w:sz w:val="28"/>
                <w:szCs w:val="24"/>
              </w:rPr>
              <w:t>主要完成人</w:t>
            </w:r>
          </w:p>
        </w:tc>
        <w:tc>
          <w:tcPr>
            <w:tcW w:w="6520" w:type="dxa"/>
            <w:tcBorders>
              <w:left w:val="single" w:color="auto" w:sz="4" w:space="0"/>
            </w:tcBorders>
            <w:vAlign w:val="center"/>
          </w:tcPr>
          <w:p w14:paraId="75ED8E30">
            <w:pPr>
              <w:adjustRightInd w:val="0"/>
              <w:spacing w:line="440" w:lineRule="exact"/>
              <w:ind w:left="480" w:hanging="480" w:hangingChars="200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eastAsia="仿宋_GB2312"/>
                <w:bCs/>
                <w:sz w:val="24"/>
                <w:szCs w:val="24"/>
              </w:rPr>
              <w:t>岳文泽，排名1，教授，浙江大学；</w:t>
            </w:r>
          </w:p>
          <w:p w14:paraId="7409CE45">
            <w:pPr>
              <w:adjustRightInd w:val="0"/>
              <w:spacing w:line="440" w:lineRule="exact"/>
              <w:ind w:left="480" w:hanging="480" w:hangingChars="200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eastAsia="仿宋_GB2312"/>
                <w:bCs/>
                <w:sz w:val="24"/>
                <w:szCs w:val="24"/>
              </w:rPr>
              <w:t>肖</w:t>
            </w:r>
            <w:r>
              <w:rPr>
                <w:rFonts w:hint="eastAsia" w:eastAsia="仿宋_GB2312"/>
                <w:bCs/>
                <w:sz w:val="24"/>
                <w:szCs w:val="24"/>
              </w:rPr>
              <w:t xml:space="preserve"> </w:t>
            </w:r>
            <w:r>
              <w:rPr>
                <w:rFonts w:eastAsia="仿宋_GB2312"/>
                <w:bCs/>
                <w:sz w:val="24"/>
                <w:szCs w:val="24"/>
              </w:rPr>
              <w:t xml:space="preserve"> 武，排名</w:t>
            </w:r>
            <w:r>
              <w:rPr>
                <w:rFonts w:hint="eastAsia" w:eastAsia="仿宋_GB2312"/>
                <w:bCs/>
                <w:sz w:val="24"/>
                <w:szCs w:val="24"/>
              </w:rPr>
              <w:t>2</w:t>
            </w:r>
            <w:r>
              <w:rPr>
                <w:rFonts w:eastAsia="仿宋_GB2312"/>
                <w:bCs/>
                <w:sz w:val="24"/>
                <w:szCs w:val="24"/>
              </w:rPr>
              <w:t>，研究员，浙江大学；</w:t>
            </w:r>
          </w:p>
          <w:p w14:paraId="40434A56">
            <w:pPr>
              <w:adjustRightInd w:val="0"/>
              <w:spacing w:line="440" w:lineRule="exact"/>
              <w:ind w:left="480" w:hanging="480" w:hangingChars="200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hint="eastAsia" w:eastAsia="仿宋_GB2312"/>
                <w:bCs/>
                <w:sz w:val="24"/>
                <w:szCs w:val="24"/>
              </w:rPr>
              <w:t>陈习军，</w:t>
            </w:r>
            <w:r>
              <w:rPr>
                <w:rFonts w:eastAsia="仿宋_GB2312"/>
                <w:bCs/>
                <w:sz w:val="24"/>
                <w:szCs w:val="24"/>
              </w:rPr>
              <w:t>排名3，正高级工程师，浙江省国土整治中心；</w:t>
            </w:r>
          </w:p>
          <w:p w14:paraId="17203B39">
            <w:pPr>
              <w:adjustRightInd w:val="0"/>
              <w:spacing w:line="440" w:lineRule="exact"/>
              <w:ind w:left="480" w:hanging="480" w:hangingChars="200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eastAsia="仿宋_GB2312"/>
                <w:bCs/>
                <w:sz w:val="24"/>
                <w:szCs w:val="24"/>
              </w:rPr>
              <w:t>罗</w:t>
            </w:r>
            <w:r>
              <w:rPr>
                <w:rFonts w:hint="eastAsia" w:eastAsia="仿宋_GB2312"/>
                <w:bCs/>
                <w:sz w:val="24"/>
                <w:szCs w:val="24"/>
              </w:rPr>
              <w:t xml:space="preserve">  </w:t>
            </w:r>
            <w:r>
              <w:rPr>
                <w:rFonts w:eastAsia="仿宋_GB2312"/>
                <w:bCs/>
                <w:sz w:val="24"/>
                <w:szCs w:val="24"/>
              </w:rPr>
              <w:t>亚</w:t>
            </w:r>
            <w:r>
              <w:rPr>
                <w:rFonts w:hint="eastAsia" w:eastAsia="仿宋_GB2312"/>
                <w:bCs/>
                <w:sz w:val="24"/>
                <w:szCs w:val="24"/>
              </w:rPr>
              <w:t>，</w:t>
            </w:r>
            <w:r>
              <w:rPr>
                <w:rFonts w:eastAsia="仿宋_GB2312"/>
                <w:bCs/>
                <w:sz w:val="24"/>
                <w:szCs w:val="24"/>
              </w:rPr>
              <w:t>排名</w:t>
            </w:r>
            <w:r>
              <w:rPr>
                <w:rFonts w:hint="eastAsia" w:eastAsia="仿宋_GB2312"/>
                <w:bCs/>
                <w:sz w:val="24"/>
                <w:szCs w:val="24"/>
              </w:rPr>
              <w:t>4</w:t>
            </w:r>
            <w:r>
              <w:rPr>
                <w:rFonts w:eastAsia="仿宋_GB2312"/>
                <w:bCs/>
                <w:sz w:val="24"/>
                <w:szCs w:val="24"/>
              </w:rPr>
              <w:t>，高级工程师</w:t>
            </w:r>
            <w:r>
              <w:rPr>
                <w:rFonts w:hint="eastAsia" w:eastAsia="仿宋_GB2312"/>
                <w:bCs/>
                <w:sz w:val="24"/>
                <w:szCs w:val="24"/>
              </w:rPr>
              <w:t>，</w:t>
            </w:r>
            <w:r>
              <w:rPr>
                <w:rFonts w:eastAsia="仿宋_GB2312"/>
                <w:bCs/>
                <w:sz w:val="24"/>
                <w:szCs w:val="24"/>
              </w:rPr>
              <w:t>上海超图数慧技术有限公司；</w:t>
            </w:r>
          </w:p>
          <w:p w14:paraId="037AD1F6">
            <w:pPr>
              <w:adjustRightInd w:val="0"/>
              <w:spacing w:line="440" w:lineRule="exact"/>
              <w:ind w:left="480" w:hanging="480" w:hangingChars="200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eastAsia="仿宋_GB2312"/>
                <w:bCs/>
                <w:sz w:val="24"/>
                <w:szCs w:val="24"/>
              </w:rPr>
              <w:t>郑国轴，排名</w:t>
            </w:r>
            <w:r>
              <w:rPr>
                <w:rFonts w:hint="eastAsia" w:eastAsia="仿宋_GB2312"/>
                <w:bCs/>
                <w:sz w:val="24"/>
                <w:szCs w:val="24"/>
              </w:rPr>
              <w:t>5，副研究员，</w:t>
            </w:r>
            <w:r>
              <w:rPr>
                <w:rFonts w:eastAsia="仿宋_GB2312"/>
                <w:bCs/>
                <w:sz w:val="24"/>
                <w:szCs w:val="24"/>
              </w:rPr>
              <w:t>浙江大学；</w:t>
            </w:r>
          </w:p>
          <w:p w14:paraId="38A84EC2">
            <w:pPr>
              <w:adjustRightInd w:val="0"/>
              <w:spacing w:line="440" w:lineRule="exact"/>
              <w:ind w:left="480" w:hanging="480" w:hangingChars="200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eastAsia="仿宋_GB2312"/>
                <w:bCs/>
                <w:sz w:val="24"/>
                <w:szCs w:val="24"/>
              </w:rPr>
              <w:t>李</w:t>
            </w:r>
            <w:r>
              <w:rPr>
                <w:rFonts w:hint="eastAsia" w:eastAsia="仿宋_GB2312"/>
                <w:bCs/>
                <w:sz w:val="24"/>
                <w:szCs w:val="24"/>
              </w:rPr>
              <w:t xml:space="preserve">  </w:t>
            </w:r>
            <w:r>
              <w:rPr>
                <w:rFonts w:eastAsia="仿宋_GB2312"/>
                <w:bCs/>
                <w:sz w:val="24"/>
                <w:szCs w:val="24"/>
              </w:rPr>
              <w:t>艳</w:t>
            </w:r>
            <w:r>
              <w:rPr>
                <w:rFonts w:hint="eastAsia" w:eastAsia="仿宋_GB2312"/>
                <w:bCs/>
                <w:sz w:val="24"/>
                <w:szCs w:val="24"/>
              </w:rPr>
              <w:t>，</w:t>
            </w:r>
            <w:r>
              <w:rPr>
                <w:rFonts w:eastAsia="仿宋_GB2312"/>
                <w:bCs/>
                <w:sz w:val="24"/>
                <w:szCs w:val="24"/>
              </w:rPr>
              <w:t>排名</w:t>
            </w:r>
            <w:r>
              <w:rPr>
                <w:rFonts w:hint="eastAsia" w:eastAsia="仿宋_GB2312"/>
                <w:bCs/>
                <w:sz w:val="24"/>
                <w:szCs w:val="24"/>
              </w:rPr>
              <w:t>6，</w:t>
            </w:r>
            <w:r>
              <w:rPr>
                <w:rFonts w:eastAsia="仿宋_GB2312"/>
                <w:bCs/>
                <w:sz w:val="24"/>
                <w:szCs w:val="24"/>
              </w:rPr>
              <w:t>教授，浙江大学；</w:t>
            </w:r>
          </w:p>
          <w:p w14:paraId="7FC8AEAE">
            <w:pPr>
              <w:adjustRightInd w:val="0"/>
              <w:spacing w:line="440" w:lineRule="exact"/>
              <w:ind w:left="480" w:hanging="480" w:hangingChars="200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eastAsia="仿宋_GB2312"/>
                <w:bCs/>
                <w:sz w:val="24"/>
                <w:szCs w:val="24"/>
              </w:rPr>
              <w:t>张英男</w:t>
            </w:r>
            <w:r>
              <w:rPr>
                <w:rFonts w:hint="eastAsia" w:eastAsia="仿宋_GB2312"/>
                <w:bCs/>
                <w:sz w:val="24"/>
                <w:szCs w:val="24"/>
              </w:rPr>
              <w:t>，</w:t>
            </w:r>
            <w:r>
              <w:rPr>
                <w:rFonts w:eastAsia="仿宋_GB2312"/>
                <w:bCs/>
                <w:sz w:val="24"/>
                <w:szCs w:val="24"/>
              </w:rPr>
              <w:t>排名</w:t>
            </w:r>
            <w:r>
              <w:rPr>
                <w:rFonts w:hint="eastAsia" w:eastAsia="仿宋_GB2312"/>
                <w:bCs/>
                <w:sz w:val="24"/>
                <w:szCs w:val="24"/>
              </w:rPr>
              <w:t>7，副研究员，</w:t>
            </w:r>
            <w:r>
              <w:rPr>
                <w:rFonts w:eastAsia="仿宋_GB2312"/>
                <w:bCs/>
                <w:sz w:val="24"/>
                <w:szCs w:val="24"/>
              </w:rPr>
              <w:t>浙江大学；</w:t>
            </w:r>
          </w:p>
          <w:p w14:paraId="6BFE9B22">
            <w:pPr>
              <w:adjustRightInd w:val="0"/>
              <w:spacing w:line="440" w:lineRule="exact"/>
              <w:ind w:left="480" w:hanging="480" w:hangingChars="200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eastAsia="仿宋_GB2312"/>
                <w:bCs/>
                <w:sz w:val="24"/>
                <w:szCs w:val="24"/>
              </w:rPr>
              <w:t>李文静</w:t>
            </w:r>
            <w:r>
              <w:rPr>
                <w:rFonts w:hint="eastAsia" w:eastAsia="仿宋_GB2312"/>
                <w:bCs/>
                <w:sz w:val="24"/>
                <w:szCs w:val="24"/>
              </w:rPr>
              <w:t>，</w:t>
            </w:r>
            <w:r>
              <w:rPr>
                <w:rFonts w:eastAsia="仿宋_GB2312"/>
                <w:bCs/>
                <w:sz w:val="24"/>
                <w:szCs w:val="24"/>
              </w:rPr>
              <w:t>排名</w:t>
            </w:r>
            <w:r>
              <w:rPr>
                <w:rFonts w:hint="eastAsia" w:eastAsia="仿宋_GB2312"/>
                <w:bCs/>
                <w:sz w:val="24"/>
                <w:szCs w:val="24"/>
              </w:rPr>
              <w:t>8，助理研究员，</w:t>
            </w:r>
            <w:r>
              <w:rPr>
                <w:rFonts w:eastAsia="仿宋_GB2312"/>
                <w:bCs/>
                <w:sz w:val="24"/>
                <w:szCs w:val="24"/>
              </w:rPr>
              <w:t>浙江大学；</w:t>
            </w:r>
          </w:p>
          <w:p w14:paraId="4316C20C">
            <w:pPr>
              <w:adjustRightInd w:val="0"/>
              <w:spacing w:line="440" w:lineRule="exact"/>
              <w:ind w:left="480" w:hanging="480" w:hangingChars="200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eastAsia="仿宋_GB2312"/>
                <w:bCs/>
                <w:sz w:val="24"/>
                <w:szCs w:val="24"/>
              </w:rPr>
              <w:t>余铁桥</w:t>
            </w:r>
            <w:r>
              <w:rPr>
                <w:rFonts w:hint="eastAsia" w:eastAsia="仿宋_GB2312"/>
                <w:bCs/>
                <w:sz w:val="24"/>
                <w:szCs w:val="24"/>
              </w:rPr>
              <w:t>，</w:t>
            </w:r>
            <w:r>
              <w:rPr>
                <w:rFonts w:eastAsia="仿宋_GB2312"/>
                <w:bCs/>
                <w:sz w:val="24"/>
                <w:szCs w:val="24"/>
              </w:rPr>
              <w:t>排名</w:t>
            </w:r>
            <w:r>
              <w:rPr>
                <w:rFonts w:hint="eastAsia" w:eastAsia="仿宋_GB2312"/>
                <w:bCs/>
                <w:sz w:val="24"/>
                <w:szCs w:val="24"/>
              </w:rPr>
              <w:t>9，</w:t>
            </w:r>
            <w:r>
              <w:rPr>
                <w:rFonts w:eastAsia="仿宋_GB2312"/>
                <w:bCs/>
                <w:sz w:val="24"/>
                <w:szCs w:val="24"/>
              </w:rPr>
              <w:t>上海超图数慧技术有限公司；</w:t>
            </w:r>
          </w:p>
          <w:p w14:paraId="6F9F9A99">
            <w:pPr>
              <w:adjustRightInd w:val="0"/>
              <w:spacing w:line="440" w:lineRule="exact"/>
              <w:ind w:left="480" w:hanging="480" w:hangingChars="200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eastAsia="仿宋_GB2312"/>
                <w:bCs/>
                <w:sz w:val="24"/>
                <w:szCs w:val="24"/>
              </w:rPr>
              <w:t>万鹏翔</w:t>
            </w:r>
            <w:r>
              <w:rPr>
                <w:rFonts w:hint="eastAsia" w:eastAsia="仿宋_GB2312"/>
                <w:bCs/>
                <w:sz w:val="24"/>
                <w:szCs w:val="24"/>
              </w:rPr>
              <w:t>，排名10，</w:t>
            </w:r>
            <w:r>
              <w:rPr>
                <w:rFonts w:eastAsia="仿宋_GB2312"/>
                <w:bCs/>
                <w:sz w:val="24"/>
                <w:szCs w:val="24"/>
              </w:rPr>
              <w:t>浙江大学</w:t>
            </w:r>
          </w:p>
          <w:p w14:paraId="72C06F92">
            <w:pPr>
              <w:adjustRightInd w:val="0"/>
              <w:spacing w:line="440" w:lineRule="exact"/>
              <w:ind w:left="480" w:hanging="480" w:hangingChars="200"/>
              <w:rPr>
                <w:rFonts w:eastAsia="仿宋_GB2312"/>
                <w:bCs/>
                <w:sz w:val="24"/>
                <w:szCs w:val="24"/>
              </w:rPr>
            </w:pPr>
          </w:p>
        </w:tc>
      </w:tr>
      <w:tr w14:paraId="7081D3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4" w:hRule="atLeast"/>
        </w:trPr>
        <w:tc>
          <w:tcPr>
            <w:tcW w:w="2156" w:type="dxa"/>
            <w:tcBorders>
              <w:right w:val="single" w:color="auto" w:sz="4" w:space="0"/>
            </w:tcBorders>
            <w:vAlign w:val="center"/>
          </w:tcPr>
          <w:p w14:paraId="31658CC9">
            <w:pPr>
              <w:spacing w:line="440" w:lineRule="exact"/>
              <w:jc w:val="center"/>
              <w:rPr>
                <w:rFonts w:eastAsia="仿宋"/>
                <w:bCs/>
                <w:sz w:val="24"/>
                <w:szCs w:val="24"/>
              </w:rPr>
            </w:pPr>
            <w:r>
              <w:rPr>
                <w:rFonts w:eastAsia="仿宋"/>
                <w:b/>
                <w:sz w:val="28"/>
                <w:szCs w:val="24"/>
              </w:rPr>
              <w:t>主要完成单位</w:t>
            </w:r>
          </w:p>
        </w:tc>
        <w:tc>
          <w:tcPr>
            <w:tcW w:w="6520" w:type="dxa"/>
            <w:tcBorders>
              <w:left w:val="single" w:color="auto" w:sz="4" w:space="0"/>
            </w:tcBorders>
            <w:vAlign w:val="center"/>
          </w:tcPr>
          <w:p w14:paraId="07F073BA">
            <w:pPr>
              <w:spacing w:line="440" w:lineRule="exact"/>
              <w:jc w:val="left"/>
              <w:rPr>
                <w:rFonts w:eastAsia="仿宋"/>
                <w:bCs/>
                <w:sz w:val="24"/>
                <w:szCs w:val="24"/>
              </w:rPr>
            </w:pPr>
            <w:r>
              <w:rPr>
                <w:rFonts w:eastAsia="仿宋_GB2312"/>
                <w:bCs/>
                <w:sz w:val="24"/>
                <w:szCs w:val="24"/>
              </w:rPr>
              <w:t>1、浙江大学；</w:t>
            </w:r>
            <w:r>
              <w:rPr>
                <w:rFonts w:eastAsia="仿宋_GB2312"/>
                <w:bCs/>
                <w:sz w:val="24"/>
                <w:szCs w:val="24"/>
              </w:rPr>
              <w:br w:type="textWrapping"/>
            </w:r>
            <w:r>
              <w:rPr>
                <w:rFonts w:eastAsia="仿宋_GB2312"/>
                <w:bCs/>
                <w:sz w:val="24"/>
                <w:szCs w:val="24"/>
              </w:rPr>
              <w:t>2、浙江省国土整治中心；</w:t>
            </w:r>
            <w:r>
              <w:rPr>
                <w:rFonts w:eastAsia="仿宋_GB2312"/>
                <w:bCs/>
                <w:sz w:val="24"/>
                <w:szCs w:val="24"/>
              </w:rPr>
              <w:br w:type="textWrapping"/>
            </w:r>
            <w:r>
              <w:rPr>
                <w:rFonts w:eastAsia="仿宋_GB2312"/>
                <w:bCs/>
                <w:sz w:val="24"/>
                <w:szCs w:val="24"/>
              </w:rPr>
              <w:t>3、上海超图数慧技术有限公司</w:t>
            </w:r>
          </w:p>
        </w:tc>
      </w:tr>
      <w:tr w14:paraId="28A663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156" w:type="dxa"/>
            <w:vAlign w:val="center"/>
          </w:tcPr>
          <w:p w14:paraId="0128E5F7">
            <w:pPr>
              <w:jc w:val="center"/>
              <w:rPr>
                <w:rStyle w:val="4"/>
                <w:rFonts w:eastAsia="仿宋_GB2312"/>
                <w:b w:val="0"/>
                <w:color w:val="auto"/>
                <w:sz w:val="28"/>
                <w:szCs w:val="28"/>
              </w:rPr>
            </w:pPr>
            <w:r>
              <w:rPr>
                <w:rStyle w:val="4"/>
                <w:rFonts w:eastAsia="仿宋_GB2312"/>
                <w:color w:val="auto"/>
                <w:sz w:val="28"/>
                <w:szCs w:val="28"/>
              </w:rPr>
              <w:t>提名单位</w:t>
            </w:r>
          </w:p>
        </w:tc>
        <w:tc>
          <w:tcPr>
            <w:tcW w:w="6520" w:type="dxa"/>
            <w:vAlign w:val="center"/>
          </w:tcPr>
          <w:p w14:paraId="37D42F2F">
            <w:pPr>
              <w:contextualSpacing/>
              <w:jc w:val="center"/>
              <w:rPr>
                <w:rStyle w:val="4"/>
                <w:color w:val="auto"/>
              </w:rPr>
            </w:pPr>
            <w:r>
              <w:rPr>
                <w:rFonts w:eastAsia="仿宋_GB2312"/>
                <w:sz w:val="24"/>
              </w:rPr>
              <w:t>中国自然资源学会资源权益研究分会</w:t>
            </w:r>
          </w:p>
        </w:tc>
      </w:tr>
      <w:tr w14:paraId="7BFD96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3" w:hRule="atLeast"/>
        </w:trPr>
        <w:tc>
          <w:tcPr>
            <w:tcW w:w="2156" w:type="dxa"/>
            <w:vAlign w:val="center"/>
          </w:tcPr>
          <w:p w14:paraId="232004FE">
            <w:pPr>
              <w:jc w:val="center"/>
              <w:rPr>
                <w:rStyle w:val="4"/>
                <w:rFonts w:eastAsia="仿宋_GB2312"/>
                <w:b w:val="0"/>
                <w:color w:val="auto"/>
                <w:sz w:val="28"/>
                <w:szCs w:val="28"/>
              </w:rPr>
            </w:pPr>
            <w:r>
              <w:rPr>
                <w:rStyle w:val="4"/>
                <w:rFonts w:eastAsia="仿宋_GB2312"/>
                <w:color w:val="auto"/>
                <w:sz w:val="28"/>
                <w:szCs w:val="28"/>
              </w:rPr>
              <w:t>提名意见</w:t>
            </w:r>
          </w:p>
        </w:tc>
        <w:tc>
          <w:tcPr>
            <w:tcW w:w="6520" w:type="dxa"/>
            <w:vAlign w:val="center"/>
          </w:tcPr>
          <w:p w14:paraId="4990885E">
            <w:pPr>
              <w:spacing w:line="440" w:lineRule="exact"/>
              <w:ind w:firstLine="480" w:firstLineChars="200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hint="eastAsia" w:eastAsia="仿宋_GB2312"/>
                <w:bCs/>
                <w:sz w:val="24"/>
                <w:szCs w:val="24"/>
              </w:rPr>
              <w:t>该成果面向国家治理现代化和自然资源管理数字化、智能化转型重大需求，针对复杂国土空间认知不足、规划决策支撑不强、实施监管协同不够等问题，持续开展理论、技术与应用研究，形成数智化国土空间治理的系统成果。</w:t>
            </w:r>
          </w:p>
          <w:p w14:paraId="669D4D37">
            <w:pPr>
              <w:spacing w:line="440" w:lineRule="exact"/>
              <w:ind w:firstLine="480" w:firstLineChars="200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hint="eastAsia" w:eastAsia="仿宋_GB2312"/>
                <w:bCs/>
                <w:sz w:val="24"/>
                <w:szCs w:val="24"/>
              </w:rPr>
              <w:t>成果构建“五大国土”协同、现代性重构与数智化转型相贯通的理论框架，深化对国土空间价值目标、空间关系与治理方式的认识；形成多源空间感知与动态诊断、空间关系分析与多情景模拟推演、规划实施与全域整治数字化管控等关键技术，提升从状态识别、关系解析到方案推演和实施监督的技术能力；建立空间码全生命周期关联、国土空间“一张图”实施监督和全域土地综合整治数智治理技术，推动数据、模型、规则与业务流程在规划、整治、监管等环节协同运行。</w:t>
            </w:r>
          </w:p>
          <w:p w14:paraId="0E8FF475">
            <w:pPr>
              <w:spacing w:line="440" w:lineRule="exact"/>
              <w:ind w:firstLine="480" w:firstLineChars="200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hint="eastAsia" w:eastAsia="仿宋_GB2312"/>
                <w:bCs/>
                <w:sz w:val="24"/>
                <w:szCs w:val="24"/>
              </w:rPr>
              <w:t>相关成果已服务国家国土空间规划实施监测评估，并在浙江、山东、四川、河北等省形成省域应用。在浙江，成果覆盖</w:t>
            </w:r>
            <w:r>
              <w:rPr>
                <w:rFonts w:eastAsia="仿宋_GB2312"/>
                <w:bCs/>
                <w:sz w:val="24"/>
                <w:szCs w:val="24"/>
              </w:rPr>
              <w:t>87</w:t>
            </w:r>
            <w:r>
              <w:rPr>
                <w:rFonts w:hint="eastAsia" w:eastAsia="仿宋_GB2312"/>
                <w:bCs/>
                <w:sz w:val="24"/>
                <w:szCs w:val="24"/>
              </w:rPr>
              <w:t>个县级自然资源管理单元，支撑</w:t>
            </w:r>
            <w:r>
              <w:rPr>
                <w:rFonts w:eastAsia="仿宋_GB2312"/>
                <w:bCs/>
                <w:sz w:val="24"/>
                <w:szCs w:val="24"/>
              </w:rPr>
              <w:t>1055</w:t>
            </w:r>
            <w:r>
              <w:rPr>
                <w:rFonts w:hint="eastAsia" w:eastAsia="仿宋_GB2312"/>
                <w:bCs/>
                <w:sz w:val="24"/>
                <w:szCs w:val="24"/>
              </w:rPr>
              <w:t>项国土空间整治工程，并拓展至“一地一码”、生态修复监管、自然资源评估预警等场景。成果形成系列论文、专著、专利、软件著作权和技术标准，多项核心技术及平台获地理信息科技进步奖一等奖等科技奖励，对提升国土空间规划科学决策、实施监督和自然资源精细化治理能力具有重要作用，具有较强的行业推广价值。</w:t>
            </w:r>
          </w:p>
          <w:p w14:paraId="3282D392">
            <w:pPr>
              <w:spacing w:line="440" w:lineRule="exact"/>
              <w:ind w:firstLine="480" w:firstLineChars="200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hint="eastAsia" w:eastAsia="仿宋_GB2312"/>
                <w:bCs/>
                <w:sz w:val="24"/>
                <w:szCs w:val="24"/>
              </w:rPr>
              <w:t>鉴定委员会认为该成果对推动国土空间治理由要素管理向系统治理、由经验研判向数智决策、由分散管理向全过程协同转型具有重要科技支撑和行业示范意义。推荐申报自然资源科学技术进步奖一等奖或二等奖。</w:t>
            </w:r>
            <w:r>
              <w:rPr>
                <w:rFonts w:eastAsia="仿宋_GB2312"/>
                <w:bCs/>
                <w:sz w:val="24"/>
                <w:szCs w:val="24"/>
              </w:rPr>
              <w:t xml:space="preserve"> </w:t>
            </w:r>
          </w:p>
        </w:tc>
      </w:tr>
    </w:tbl>
    <w:p w14:paraId="5A0036D5"/>
    <w:p w14:paraId="55F322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3E1396"/>
    <w:multiLevelType w:val="singleLevel"/>
    <w:tmpl w:val="ED3E139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671561"/>
    <w:rsid w:val="77671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title1"/>
    <w:qFormat/>
    <w:uiPriority w:val="0"/>
    <w:rPr>
      <w:b/>
      <w:bCs/>
      <w:color w:val="9999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2026-09-10T08:42:00Z</dcterms:created>
  <dc:creator>雅小妙</dc:creator>
  <cp:lastModifiedBy>雅小妙</cp:lastModifiedBy>
  <dcterms:modified xsi:type="dcterms:W3CDTF">2026-09-10T08:42:41Z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DD93FD1A7DB34E8F81C9E9D74116A33A_11</vt:lpwstr>
  </property>
  <property fmtid="{D5CDD505-2E9C-101B-9397-08002B2CF9AE}" pid="4" name="KSOTemplateDocerSaveRecord">
    <vt:lpwstr>eyJoZGlkIjoiYWE1ZTNiMWMyODdlZjljOWQxZmU0ZDMwM2YzNzU4ZTIiLCJ1c2VySWQiOiIyOTcxMDQ2OTIifQ==</vt:lpwstr>
  </property>
</Properties>
</file>